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0A2E8135" w:rsidR="007E5714" w:rsidRPr="00902F01" w:rsidRDefault="00DF6B82"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3E390B62"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COLORETTE es un revestimiento compacto de linóleo calandrado en plancha, de 2 m de ancho, que proporciona una excelente resistencia al desgaste diario en zonas de mucho tránsito. </w:t>
      </w:r>
    </w:p>
    <w:p w14:paraId="2D7680A6" w14:textId="77777777" w:rsidR="007C32EA" w:rsidRPr="007C32EA" w:rsidRDefault="007C32EA" w:rsidP="007C32EA">
      <w:pPr>
        <w:jc w:val="both"/>
        <w:rPr>
          <w:rFonts w:asciiTheme="minorHAnsi" w:hAnsiTheme="minorHAnsi" w:cstheme="minorHAnsi"/>
          <w:sz w:val="22"/>
          <w:szCs w:val="22"/>
        </w:rPr>
      </w:pPr>
    </w:p>
    <w:p w14:paraId="3632362C"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Su peso es de 2900g/m² en 2,5mm. </w:t>
      </w:r>
    </w:p>
    <w:p w14:paraId="3F5515F8" w14:textId="77777777" w:rsidR="007C32EA" w:rsidRPr="007C32EA" w:rsidRDefault="007C32EA" w:rsidP="007C32EA">
      <w:pPr>
        <w:jc w:val="both"/>
        <w:rPr>
          <w:rFonts w:asciiTheme="minorHAnsi" w:hAnsiTheme="minorHAnsi" w:cstheme="minorHAnsi"/>
          <w:sz w:val="22"/>
          <w:szCs w:val="22"/>
        </w:rPr>
      </w:pPr>
    </w:p>
    <w:p w14:paraId="3E3898B8"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Tiene un diseño moteado y presenta un acabado mate, está compuesto por un 98% de materiales naturales (de base biológica y mineral</w:t>
      </w:r>
      <w:proofErr w:type="gramStart"/>
      <w:r w:rsidRPr="007C32EA">
        <w:rPr>
          <w:rFonts w:asciiTheme="minorHAnsi" w:hAnsiTheme="minorHAnsi" w:cstheme="minorHAnsi"/>
          <w:sz w:val="22"/>
          <w:szCs w:val="22"/>
        </w:rPr>
        <w:t>):</w:t>
      </w:r>
      <w:proofErr w:type="gramEnd"/>
      <w:r w:rsidRPr="007C32EA">
        <w:rPr>
          <w:rFonts w:asciiTheme="minorHAnsi" w:hAnsiTheme="minorHAnsi" w:cstheme="minorHAnsi"/>
          <w:sz w:val="22"/>
          <w:szCs w:val="22"/>
        </w:rPr>
        <w:t xml:space="preserve"> aceite de linaza, harina de madera, resinas, corcho, minerales y tejido de yute, entre los cuales un 76% son rápidamente renovables.</w:t>
      </w:r>
    </w:p>
    <w:p w14:paraId="1C47AB94" w14:textId="77777777" w:rsidR="007C32EA" w:rsidRPr="007C32EA" w:rsidRDefault="007C32EA" w:rsidP="007C32EA">
      <w:pPr>
        <w:jc w:val="both"/>
        <w:rPr>
          <w:rFonts w:asciiTheme="minorHAnsi" w:hAnsiTheme="minorHAnsi" w:cstheme="minorHAnsi"/>
          <w:sz w:val="22"/>
          <w:szCs w:val="22"/>
        </w:rPr>
      </w:pPr>
    </w:p>
    <w:p w14:paraId="048E135A"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El suelo se fabrica con el tratamiento de superficie sin disolventes Neocare™, un exclusivo tratamiento de superficie de laca fotopolimerizada a base de acrilato obtenida por triple reticulación láser UV. Neocare™ ofrece una excelente resistencia a los arañazos, así como a los productos químicos que se encuentran en entornos agresivos, como lejía, soluciones hidroalcohólicas, Betadine y Eosina, además de marcadores que facilitan el mantenimiento y aumentan la vida útil del pavimento. </w:t>
      </w:r>
    </w:p>
    <w:p w14:paraId="59891B37" w14:textId="77777777" w:rsidR="007C32EA" w:rsidRPr="007C32EA" w:rsidRDefault="007C32EA" w:rsidP="007C32EA">
      <w:pPr>
        <w:jc w:val="both"/>
        <w:rPr>
          <w:rFonts w:asciiTheme="minorHAnsi" w:hAnsiTheme="minorHAnsi" w:cstheme="minorHAnsi"/>
          <w:sz w:val="22"/>
          <w:szCs w:val="22"/>
        </w:rPr>
      </w:pPr>
    </w:p>
    <w:p w14:paraId="7BE5FDAB"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Este tratamiento evita realizar cualquier pulido a lo largo de la vida útil del producto. No obstante, puede pulirse siguiendo las recomendaciones habituales y según los deseos del cliente.</w:t>
      </w:r>
    </w:p>
    <w:p w14:paraId="41419084" w14:textId="77777777" w:rsidR="007C32EA" w:rsidRPr="007C32EA" w:rsidRDefault="007C32EA" w:rsidP="007C32EA">
      <w:pPr>
        <w:jc w:val="both"/>
        <w:rPr>
          <w:rFonts w:asciiTheme="minorHAnsi" w:hAnsiTheme="minorHAnsi" w:cstheme="minorHAnsi"/>
          <w:sz w:val="22"/>
          <w:szCs w:val="22"/>
        </w:rPr>
      </w:pPr>
    </w:p>
    <w:p w14:paraId="0B51FA7D"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Los productos garantizan una perfecta calidad del aire interior (TVOC a 28 días (EN 16516) &lt; 10 microgramos/m3) y están clasificados A + (la mejor clase) en el marco del etiquetado sanitario. Cuenta con las certificaciones Floorscore®, M1 y Ángel Azul. </w:t>
      </w:r>
    </w:p>
    <w:p w14:paraId="63033B6A" w14:textId="77777777" w:rsidR="007C32EA" w:rsidRPr="007C32EA" w:rsidRDefault="007C32EA" w:rsidP="007C32EA">
      <w:pPr>
        <w:jc w:val="both"/>
        <w:rPr>
          <w:rFonts w:asciiTheme="minorHAnsi" w:hAnsiTheme="minorHAnsi" w:cstheme="minorHAnsi"/>
          <w:sz w:val="22"/>
          <w:szCs w:val="22"/>
        </w:rPr>
      </w:pPr>
    </w:p>
    <w:p w14:paraId="0E0B3F95"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Los suelos son 100% reciclables, están compuestos por un mínimo del 25% de contenido reciclado y hasta un 40% de contenido reciclado, 100% controlado, cumplen con REACH y tienen la clasificación Cfl-s1 de resistencia al fuego. </w:t>
      </w:r>
    </w:p>
    <w:p w14:paraId="6092E416" w14:textId="77777777" w:rsidR="007C32EA" w:rsidRPr="007C32EA" w:rsidRDefault="007C32EA" w:rsidP="007C32EA">
      <w:pPr>
        <w:jc w:val="both"/>
        <w:rPr>
          <w:rFonts w:asciiTheme="minorHAnsi" w:hAnsiTheme="minorHAnsi" w:cstheme="minorHAnsi"/>
          <w:sz w:val="22"/>
          <w:szCs w:val="22"/>
        </w:rPr>
      </w:pPr>
    </w:p>
    <w:p w14:paraId="7E44F93A" w14:textId="77777777" w:rsidR="007C32EA" w:rsidRPr="007C32EA" w:rsidRDefault="007C32EA" w:rsidP="007C32EA">
      <w:pPr>
        <w:jc w:val="both"/>
        <w:rPr>
          <w:rFonts w:asciiTheme="minorHAnsi" w:hAnsiTheme="minorHAnsi" w:cstheme="minorHAnsi"/>
          <w:sz w:val="22"/>
          <w:szCs w:val="22"/>
        </w:rPr>
      </w:pPr>
      <w:r w:rsidRPr="007C32EA">
        <w:rPr>
          <w:rFonts w:asciiTheme="minorHAnsi" w:hAnsiTheme="minorHAnsi" w:cstheme="minorHAnsi"/>
          <w:sz w:val="22"/>
          <w:szCs w:val="22"/>
        </w:rPr>
        <w:t xml:space="preserve">Diseñados y fabricados de forma sostenible en una planta galardonada con las certificaciones ISO 9001 (calidad), ISO 14001 (medio ambiente) e ISO 50001 (energía), los pavimentos cuentan con la certificación Cradle to Cradle certified™ Silver. Cuentan con la Declaración de Desempeño Ambiental (EPD) certificada por un laboratorio externo que indica la neutralidad de carbono durante las primeras etapas de su ciclo de vida ("de la cuna a la puerta"). </w:t>
      </w:r>
    </w:p>
    <w:p w14:paraId="371A3316" w14:textId="77777777" w:rsidR="007C32EA" w:rsidRPr="007C32EA" w:rsidRDefault="007C32EA" w:rsidP="007C32EA">
      <w:pPr>
        <w:jc w:val="both"/>
        <w:rPr>
          <w:rFonts w:asciiTheme="minorHAnsi" w:hAnsiTheme="minorHAnsi" w:cstheme="minorHAnsi"/>
          <w:sz w:val="22"/>
          <w:szCs w:val="22"/>
        </w:rPr>
      </w:pPr>
    </w:p>
    <w:p w14:paraId="0326A724" w14:textId="77777777" w:rsidR="007C32EA" w:rsidRPr="007C32EA" w:rsidRDefault="007C32EA" w:rsidP="007C32EA">
      <w:pPr>
        <w:jc w:val="both"/>
        <w:rPr>
          <w:rFonts w:asciiTheme="minorHAnsi" w:hAnsiTheme="minorHAnsi" w:cstheme="minorHAnsi"/>
          <w:sz w:val="22"/>
          <w:szCs w:val="22"/>
          <w:lang w:val="en-US"/>
        </w:rPr>
      </w:pPr>
      <w:r w:rsidRPr="007C32EA">
        <w:rPr>
          <w:rFonts w:asciiTheme="minorHAnsi" w:hAnsiTheme="minorHAnsi" w:cstheme="minorHAnsi"/>
          <w:sz w:val="22"/>
          <w:szCs w:val="22"/>
        </w:rPr>
        <w:t xml:space="preserve">La varilla de soldadura Uni hace invisibles las uniones entre las tiras. </w:t>
      </w:r>
      <w:r w:rsidRPr="007C32EA">
        <w:rPr>
          <w:rFonts w:asciiTheme="minorHAnsi" w:hAnsiTheme="minorHAnsi" w:cstheme="minorHAnsi"/>
          <w:sz w:val="22"/>
          <w:szCs w:val="22"/>
          <w:lang w:val="en-US"/>
        </w:rPr>
        <w:t>I</w:t>
      </w:r>
    </w:p>
    <w:p w14:paraId="7CE6C2E0" w14:textId="77777777" w:rsidR="007C32EA" w:rsidRPr="007C32EA" w:rsidRDefault="007C32EA" w:rsidP="007C32EA">
      <w:pPr>
        <w:jc w:val="both"/>
        <w:rPr>
          <w:rFonts w:asciiTheme="minorHAnsi" w:hAnsiTheme="minorHAnsi" w:cstheme="minorHAnsi"/>
          <w:sz w:val="22"/>
          <w:szCs w:val="22"/>
          <w:lang w:val="en-US"/>
        </w:rPr>
      </w:pPr>
    </w:p>
    <w:p w14:paraId="7CDDA566" w14:textId="3BCF116D" w:rsidR="002C6C98" w:rsidRPr="00CB538A" w:rsidRDefault="007C32EA" w:rsidP="007C32EA">
      <w:pPr>
        <w:jc w:val="both"/>
        <w:rPr>
          <w:rFonts w:asciiTheme="minorHAnsi" w:hAnsiTheme="minorHAnsi" w:cstheme="minorHAnsi"/>
          <w:sz w:val="22"/>
          <w:szCs w:val="22"/>
          <w:lang w:val="en-US"/>
        </w:rPr>
      </w:pPr>
      <w:r w:rsidRPr="007C32EA">
        <w:rPr>
          <w:rFonts w:asciiTheme="minorHAnsi" w:hAnsiTheme="minorHAnsi" w:cstheme="minorHAnsi"/>
          <w:sz w:val="22"/>
          <w:szCs w:val="22"/>
          <w:lang w:val="en-US"/>
        </w:rPr>
        <w:t xml:space="preserve">Es </w:t>
      </w:r>
      <w:proofErr w:type="spellStart"/>
      <w:r w:rsidRPr="007C32EA">
        <w:rPr>
          <w:rFonts w:asciiTheme="minorHAnsi" w:hAnsiTheme="minorHAnsi" w:cstheme="minorHAnsi"/>
          <w:sz w:val="22"/>
          <w:szCs w:val="22"/>
          <w:lang w:val="en-US"/>
        </w:rPr>
        <w:t>antiestática</w:t>
      </w:r>
      <w:proofErr w:type="spellEnd"/>
      <w:r w:rsidRPr="007C32EA">
        <w:rPr>
          <w:rFonts w:asciiTheme="minorHAnsi" w:hAnsiTheme="minorHAnsi" w:cstheme="minorHAnsi"/>
          <w:sz w:val="22"/>
          <w:szCs w:val="22"/>
          <w:lang w:val="en-US"/>
        </w:rPr>
        <w:t xml:space="preserve">, </w:t>
      </w:r>
      <w:proofErr w:type="spellStart"/>
      <w:r w:rsidRPr="007C32EA">
        <w:rPr>
          <w:rFonts w:asciiTheme="minorHAnsi" w:hAnsiTheme="minorHAnsi" w:cstheme="minorHAnsi"/>
          <w:sz w:val="22"/>
          <w:szCs w:val="22"/>
          <w:lang w:val="en-US"/>
        </w:rPr>
        <w:t>antibacteriana</w:t>
      </w:r>
      <w:proofErr w:type="spellEnd"/>
      <w:r w:rsidRPr="007C32EA">
        <w:rPr>
          <w:rFonts w:asciiTheme="minorHAnsi" w:hAnsiTheme="minorHAnsi" w:cstheme="minorHAnsi"/>
          <w:sz w:val="22"/>
          <w:szCs w:val="22"/>
          <w:lang w:val="en-US"/>
        </w:rPr>
        <w:t xml:space="preserve"> </w:t>
      </w:r>
      <w:proofErr w:type="spellStart"/>
      <w:r w:rsidRPr="007C32EA">
        <w:rPr>
          <w:rFonts w:asciiTheme="minorHAnsi" w:hAnsiTheme="minorHAnsi" w:cstheme="minorHAnsi"/>
          <w:sz w:val="22"/>
          <w:szCs w:val="22"/>
          <w:lang w:val="en-US"/>
        </w:rPr>
        <w:t>según</w:t>
      </w:r>
      <w:proofErr w:type="spellEnd"/>
      <w:r w:rsidRPr="007C32EA">
        <w:rPr>
          <w:rFonts w:asciiTheme="minorHAnsi" w:hAnsiTheme="minorHAnsi" w:cstheme="minorHAnsi"/>
          <w:sz w:val="22"/>
          <w:szCs w:val="22"/>
          <w:lang w:val="en-US"/>
        </w:rPr>
        <w:t xml:space="preserve"> ISO 22196 / JIS Z 2801 y </w:t>
      </w:r>
      <w:proofErr w:type="spellStart"/>
      <w:r w:rsidRPr="007C32EA">
        <w:rPr>
          <w:rFonts w:asciiTheme="minorHAnsi" w:hAnsiTheme="minorHAnsi" w:cstheme="minorHAnsi"/>
          <w:sz w:val="22"/>
          <w:szCs w:val="22"/>
          <w:lang w:val="en-US"/>
        </w:rPr>
        <w:t>antivírica</w:t>
      </w:r>
      <w:proofErr w:type="spellEnd"/>
      <w:r w:rsidRPr="007C32EA">
        <w:rPr>
          <w:rFonts w:asciiTheme="minorHAnsi" w:hAnsiTheme="minorHAnsi" w:cstheme="minorHAnsi"/>
          <w:sz w:val="22"/>
          <w:szCs w:val="22"/>
          <w:lang w:val="en-US"/>
        </w:rPr>
        <w:t xml:space="preserve"> </w:t>
      </w:r>
      <w:proofErr w:type="spellStart"/>
      <w:r w:rsidRPr="007C32EA">
        <w:rPr>
          <w:rFonts w:asciiTheme="minorHAnsi" w:hAnsiTheme="minorHAnsi" w:cstheme="minorHAnsi"/>
          <w:sz w:val="22"/>
          <w:szCs w:val="22"/>
          <w:lang w:val="en-US"/>
        </w:rPr>
        <w:t>según</w:t>
      </w:r>
      <w:proofErr w:type="spellEnd"/>
      <w:r w:rsidRPr="007C32EA">
        <w:rPr>
          <w:rFonts w:asciiTheme="minorHAnsi" w:hAnsiTheme="minorHAnsi" w:cstheme="minorHAnsi"/>
          <w:sz w:val="22"/>
          <w:szCs w:val="22"/>
          <w:lang w:val="en-US"/>
        </w:rPr>
        <w:t xml:space="preserve"> ISO 21702.</w:t>
      </w:r>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ECF2C" w14:textId="77777777" w:rsidR="00D102A6" w:rsidRDefault="00D102A6">
      <w:r>
        <w:separator/>
      </w:r>
    </w:p>
  </w:endnote>
  <w:endnote w:type="continuationSeparator" w:id="0">
    <w:p w14:paraId="23BC10AF" w14:textId="77777777" w:rsidR="00D102A6" w:rsidRDefault="00D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20104040401010201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1BD029FF"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text</w:t>
          </w:r>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F13449">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F13449">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EB84" w14:textId="77777777" w:rsidR="00D102A6" w:rsidRDefault="00D102A6">
      <w:r>
        <w:separator/>
      </w:r>
    </w:p>
  </w:footnote>
  <w:footnote w:type="continuationSeparator" w:id="0">
    <w:p w14:paraId="1F638318" w14:textId="77777777" w:rsidR="00D102A6" w:rsidRDefault="00D1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399983240">
    <w:abstractNumId w:val="7"/>
  </w:num>
  <w:num w:numId="2" w16cid:durableId="1221358766">
    <w:abstractNumId w:val="2"/>
  </w:num>
  <w:num w:numId="3" w16cid:durableId="1049458136">
    <w:abstractNumId w:val="0"/>
  </w:num>
  <w:num w:numId="4" w16cid:durableId="188958229">
    <w:abstractNumId w:val="1"/>
  </w:num>
  <w:num w:numId="5" w16cid:durableId="1922593964">
    <w:abstractNumId w:val="5"/>
  </w:num>
  <w:num w:numId="6" w16cid:durableId="295992550">
    <w:abstractNumId w:val="4"/>
  </w:num>
  <w:num w:numId="7" w16cid:durableId="946044124">
    <w:abstractNumId w:val="3"/>
  </w:num>
  <w:num w:numId="8" w16cid:durableId="97833867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1D7"/>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48A"/>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0D9"/>
    <w:rsid w:val="002A1B46"/>
    <w:rsid w:val="002A20A9"/>
    <w:rsid w:val="002A3C09"/>
    <w:rsid w:val="002A3E26"/>
    <w:rsid w:val="002B4904"/>
    <w:rsid w:val="002B612F"/>
    <w:rsid w:val="002B6590"/>
    <w:rsid w:val="002B6B2C"/>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2220"/>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284"/>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2EA"/>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6D2"/>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46"/>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3BC6"/>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C47FA"/>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48E4"/>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41B1"/>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02A6"/>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DF6B82"/>
    <w:rsid w:val="00E00213"/>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13449"/>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398671826">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3BE3D-C03E-49A3-9455-D86D2C9C9BA6}">
  <ds:schemaRefs>
    <ds:schemaRef ds:uri="http://schemas.openxmlformats.org/officeDocument/2006/bibliography"/>
  </ds:schemaRefs>
</ds:datastoreItem>
</file>

<file path=customXml/itemProps4.xml><?xml version="1.0" encoding="utf-8"?>
<ds:datastoreItem xmlns:ds="http://schemas.openxmlformats.org/officeDocument/2006/customXml" ds:itemID="{C1E0F1D4-F879-469A-93F4-FDF5DB5272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353</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GZOUR Hajar</cp:lastModifiedBy>
  <cp:revision>21</cp:revision>
  <cp:lastPrinted>2020-05-05T13:18:00Z</cp:lastPrinted>
  <dcterms:created xsi:type="dcterms:W3CDTF">2020-05-05T10:18:00Z</dcterms:created>
  <dcterms:modified xsi:type="dcterms:W3CDTF">2023-10-09T08:25:00Z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